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24" w:rsidRDefault="00623224" w:rsidP="00623224">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br/>
        <w:t>Глава муниципального образования «Вельское»</w:t>
      </w:r>
    </w:p>
    <w:p w:rsidR="00623224" w:rsidRDefault="00623224" w:rsidP="00623224">
      <w:pPr>
        <w:tabs>
          <w:tab w:val="left" w:pos="142"/>
        </w:tabs>
        <w:autoSpaceDE w:val="0"/>
        <w:autoSpaceDN w:val="0"/>
        <w:adjustRightInd w:val="0"/>
        <w:spacing w:after="0" w:line="240" w:lineRule="auto"/>
        <w:ind w:left="5103"/>
        <w:jc w:val="both"/>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_____________________ Д.В. Ежов</w:t>
      </w:r>
    </w:p>
    <w:p w:rsidR="00623224" w:rsidRDefault="00623224" w:rsidP="00623224">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«15»  июня  2018 года</w:t>
      </w: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на проведение аукциона по продаже права на заключение договора</w:t>
      </w:r>
      <w:r>
        <w:rPr>
          <w:rFonts w:ascii="Times New Roman" w:hAnsi="Times New Roman" w:cs="Times New Roman"/>
          <w:b/>
          <w:sz w:val="24"/>
          <w:szCs w:val="24"/>
        </w:rPr>
        <w:br/>
        <w:t xml:space="preserve">на размещение нестационарного торгового объекта </w:t>
      </w:r>
      <w:r>
        <w:rPr>
          <w:rFonts w:ascii="Times New Roman" w:hAnsi="Times New Roman" w:cs="Times New Roman"/>
          <w:b/>
          <w:sz w:val="24"/>
          <w:szCs w:val="24"/>
        </w:rPr>
        <w:br/>
        <w:t>на территории</w:t>
      </w:r>
      <w:proofErr w:type="gramEnd"/>
      <w:r>
        <w:rPr>
          <w:rFonts w:ascii="Times New Roman" w:hAnsi="Times New Roman" w:cs="Times New Roman"/>
          <w:b/>
          <w:sz w:val="24"/>
          <w:szCs w:val="24"/>
        </w:rPr>
        <w:t xml:space="preserve"> муниципального образования </w:t>
      </w: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«Вельское»</w:t>
      </w:r>
    </w:p>
    <w:p w:rsidR="00623224" w:rsidRDefault="00623224" w:rsidP="00623224">
      <w:pPr>
        <w:tabs>
          <w:tab w:val="left" w:pos="142"/>
        </w:tabs>
        <w:autoSpaceDE w:val="0"/>
        <w:autoSpaceDN w:val="0"/>
        <w:adjustRightInd w:val="0"/>
        <w:spacing w:after="0" w:line="240" w:lineRule="auto"/>
        <w:ind w:firstLine="540"/>
        <w:jc w:val="both"/>
        <w:rPr>
          <w:rFonts w:ascii="Times New Roman" w:hAnsi="Times New Roman" w:cs="Times New Roman"/>
          <w:b/>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r>
        <w:rPr>
          <w:rFonts w:ascii="Times New Roman" w:hAnsi="Times New Roman" w:cs="Times New Roman"/>
          <w:sz w:val="24"/>
          <w:szCs w:val="24"/>
        </w:rPr>
        <w:br w:type="page"/>
      </w: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документации</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Срок и порядок внесения платы за право на заключение договора</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место, дата начала и дата окончания срока подачи заявок на участие в аукционе</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 срок отзыва заявок на участие в аукционе</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дата и время, порядок проведения аукциона</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предмета аукциона («шаг аукциона»)</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дата и время начала рассмотрения заявок на участие в аукционе</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аукциона должен подписать договор на право размещения нестационарного торгового объекта</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сроках начала осуществления деятельности</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действия договора на право размещения нестационарного торгового объекта</w:t>
            </w:r>
          </w:p>
        </w:tc>
      </w:tr>
      <w:tr w:rsidR="00623224" w:rsidTr="00623224">
        <w:tc>
          <w:tcPr>
            <w:tcW w:w="949"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Приложения</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аукционе (Приложение №1)</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Уведомление об отзыве заявки (Приложение №2)</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на размещение нестационарного торгового объекта (Приложение №3)</w:t>
            </w:r>
          </w:p>
        </w:tc>
      </w:tr>
      <w:tr w:rsidR="00623224" w:rsidTr="00623224">
        <w:tc>
          <w:tcPr>
            <w:tcW w:w="949"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2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запроса о разъяснении документации (Приложение №4)</w:t>
            </w:r>
          </w:p>
        </w:tc>
      </w:tr>
    </w:tbl>
    <w:p w:rsidR="00623224" w:rsidRDefault="00623224" w:rsidP="00623224">
      <w:pPr>
        <w:tabs>
          <w:tab w:val="left" w:pos="142"/>
        </w:tabs>
        <w:autoSpaceDE w:val="0"/>
        <w:autoSpaceDN w:val="0"/>
        <w:adjustRightInd w:val="0"/>
        <w:spacing w:after="0" w:line="240" w:lineRule="auto"/>
        <w:jc w:val="center"/>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1. Общие положения</w:t>
      </w:r>
    </w:p>
    <w:p w:rsidR="00623224" w:rsidRDefault="00623224" w:rsidP="00623224">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p>
    <w:p w:rsidR="00623224" w:rsidRDefault="00623224" w:rsidP="00623224">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623224" w:rsidRDefault="00623224" w:rsidP="00623224">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 Гражданского кодекса Российской Федерации;</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Закона Российской Федерации от 06 октября 2003 года </w:t>
      </w:r>
      <w:r>
        <w:rPr>
          <w:rFonts w:ascii="Times New Roman" w:hAnsi="Times New Roman" w:cs="Times New Roman"/>
          <w:sz w:val="24"/>
          <w:szCs w:val="24"/>
          <w:lang w:val="en-US"/>
        </w:rPr>
        <w:t>N</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Закона Российской Федерации от 28 декабря 2009 года </w:t>
      </w:r>
      <w:r>
        <w:rPr>
          <w:rFonts w:ascii="Times New Roman" w:hAnsi="Times New Roman" w:cs="Times New Roman"/>
          <w:sz w:val="24"/>
          <w:szCs w:val="24"/>
          <w:lang w:val="en-US"/>
        </w:rPr>
        <w:t>N</w:t>
      </w:r>
      <w:r>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623224" w:rsidRDefault="00623224" w:rsidP="00623224">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 Устава муниципального образования «Вельское»;</w:t>
      </w:r>
    </w:p>
    <w:p w:rsidR="00623224" w:rsidRDefault="00623224" w:rsidP="00623224">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623224" w:rsidRDefault="00623224" w:rsidP="00623224">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В настоящей аукционной документации используются следующие основные понятия:</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623224" w:rsidRDefault="00623224" w:rsidP="00623224">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К нестационарным торговым объектам, включаемым в Схему, относятся:</w:t>
      </w:r>
    </w:p>
    <w:p w:rsidR="00623224" w:rsidRDefault="00623224" w:rsidP="00623224">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623224" w:rsidRDefault="00623224" w:rsidP="00623224">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23224" w:rsidRDefault="00623224" w:rsidP="00623224">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623224" w:rsidRDefault="00623224" w:rsidP="00623224">
      <w:pPr>
        <w:widowControl w:val="0"/>
        <w:tabs>
          <w:tab w:val="left" w:pos="142"/>
        </w:tabs>
        <w:autoSpaceDE w:val="0"/>
        <w:autoSpaceDN w:val="0"/>
        <w:adjustRightInd w:val="0"/>
        <w:spacing w:after="0" w:line="240" w:lineRule="auto"/>
        <w:ind w:right="-142" w:firstLine="426"/>
        <w:jc w:val="both"/>
        <w:rPr>
          <w:rStyle w:val="w"/>
        </w:rPr>
      </w:pPr>
      <w:r>
        <w:rPr>
          <w:rFonts w:ascii="Times New Roman" w:hAnsi="Times New Roman" w:cs="Times New Roman"/>
          <w:sz w:val="24"/>
          <w:szCs w:val="24"/>
        </w:rPr>
        <w:t xml:space="preserve">4) торговый лоток – </w:t>
      </w:r>
      <w:r>
        <w:rPr>
          <w:rStyle w:val="w"/>
          <w:rFonts w:ascii="Times New Roman" w:hAnsi="Times New Roman" w:cs="Times New Roman"/>
          <w:sz w:val="24"/>
          <w:szCs w:val="24"/>
        </w:rPr>
        <w:t>передвижной</w:t>
      </w:r>
      <w:r>
        <w:rPr>
          <w:rFonts w:ascii="Times New Roman" w:hAnsi="Times New Roman" w:cs="Times New Roman"/>
          <w:sz w:val="24"/>
          <w:szCs w:val="24"/>
        </w:rPr>
        <w:t xml:space="preserve"> </w:t>
      </w:r>
      <w:r>
        <w:rPr>
          <w:rStyle w:val="w"/>
          <w:rFonts w:ascii="Times New Roman" w:hAnsi="Times New Roman" w:cs="Times New Roman"/>
          <w:sz w:val="24"/>
          <w:szCs w:val="24"/>
        </w:rPr>
        <w:t>торговый</w:t>
      </w:r>
      <w:r>
        <w:rPr>
          <w:rFonts w:ascii="Times New Roman" w:hAnsi="Times New Roman" w:cs="Times New Roman"/>
          <w:sz w:val="24"/>
          <w:szCs w:val="24"/>
        </w:rPr>
        <w:t xml:space="preserve"> </w:t>
      </w:r>
      <w:r>
        <w:rPr>
          <w:rStyle w:val="w"/>
          <w:rFonts w:ascii="Times New Roman" w:hAnsi="Times New Roman" w:cs="Times New Roman"/>
          <w:sz w:val="24"/>
          <w:szCs w:val="24"/>
        </w:rPr>
        <w:t>объект</w:t>
      </w:r>
      <w:r>
        <w:rPr>
          <w:rFonts w:ascii="Times New Roman" w:hAnsi="Times New Roman" w:cs="Times New Roman"/>
          <w:sz w:val="24"/>
          <w:szCs w:val="24"/>
        </w:rPr>
        <w:t xml:space="preserve">, </w:t>
      </w:r>
      <w:r>
        <w:rPr>
          <w:rStyle w:val="w"/>
          <w:rFonts w:ascii="Times New Roman" w:hAnsi="Times New Roman" w:cs="Times New Roman"/>
          <w:sz w:val="24"/>
          <w:szCs w:val="24"/>
        </w:rPr>
        <w:t>осуществляющий</w:t>
      </w:r>
      <w:r>
        <w:rPr>
          <w:rFonts w:ascii="Times New Roman" w:hAnsi="Times New Roman" w:cs="Times New Roman"/>
          <w:sz w:val="24"/>
          <w:szCs w:val="24"/>
        </w:rPr>
        <w:t xml:space="preserve"> </w:t>
      </w:r>
      <w:r>
        <w:rPr>
          <w:rStyle w:val="w"/>
          <w:rFonts w:ascii="Times New Roman" w:hAnsi="Times New Roman" w:cs="Times New Roman"/>
          <w:sz w:val="24"/>
          <w:szCs w:val="24"/>
        </w:rPr>
        <w:t>разносную</w:t>
      </w:r>
      <w:r>
        <w:rPr>
          <w:rFonts w:ascii="Times New Roman" w:hAnsi="Times New Roman" w:cs="Times New Roman"/>
          <w:sz w:val="24"/>
          <w:szCs w:val="24"/>
        </w:rPr>
        <w:t xml:space="preserve"> </w:t>
      </w:r>
      <w:r>
        <w:rPr>
          <w:rStyle w:val="w"/>
          <w:rFonts w:ascii="Times New Roman" w:hAnsi="Times New Roman" w:cs="Times New Roman"/>
          <w:sz w:val="24"/>
          <w:szCs w:val="24"/>
        </w:rPr>
        <w:t>торговлю</w:t>
      </w:r>
      <w:r>
        <w:rPr>
          <w:rFonts w:ascii="Times New Roman" w:hAnsi="Times New Roman" w:cs="Times New Roman"/>
          <w:sz w:val="24"/>
          <w:szCs w:val="24"/>
        </w:rPr>
        <w:t xml:space="preserve">, </w:t>
      </w:r>
      <w:r>
        <w:rPr>
          <w:rStyle w:val="w"/>
          <w:rFonts w:ascii="Times New Roman" w:hAnsi="Times New Roman" w:cs="Times New Roman"/>
          <w:sz w:val="24"/>
          <w:szCs w:val="24"/>
        </w:rPr>
        <w:t>не</w:t>
      </w:r>
      <w:r>
        <w:rPr>
          <w:rFonts w:ascii="Times New Roman" w:hAnsi="Times New Roman" w:cs="Times New Roman"/>
          <w:sz w:val="24"/>
          <w:szCs w:val="24"/>
        </w:rPr>
        <w:t xml:space="preserve"> </w:t>
      </w:r>
      <w:r>
        <w:rPr>
          <w:rStyle w:val="w"/>
          <w:rFonts w:ascii="Times New Roman" w:hAnsi="Times New Roman" w:cs="Times New Roman"/>
          <w:sz w:val="24"/>
          <w:szCs w:val="24"/>
        </w:rPr>
        <w:t>имеющий</w:t>
      </w:r>
      <w:r>
        <w:rPr>
          <w:rFonts w:ascii="Times New Roman" w:hAnsi="Times New Roman" w:cs="Times New Roman"/>
          <w:sz w:val="24"/>
          <w:szCs w:val="24"/>
        </w:rPr>
        <w:t xml:space="preserve"> </w:t>
      </w:r>
      <w:r>
        <w:rPr>
          <w:rStyle w:val="w"/>
          <w:rFonts w:ascii="Times New Roman" w:hAnsi="Times New Roman" w:cs="Times New Roman"/>
          <w:sz w:val="24"/>
          <w:szCs w:val="24"/>
        </w:rPr>
        <w:t>торгового</w:t>
      </w:r>
      <w:r>
        <w:rPr>
          <w:rFonts w:ascii="Times New Roman" w:hAnsi="Times New Roman" w:cs="Times New Roman"/>
          <w:sz w:val="24"/>
          <w:szCs w:val="24"/>
        </w:rPr>
        <w:t xml:space="preserve"> </w:t>
      </w:r>
      <w:r>
        <w:rPr>
          <w:rStyle w:val="w"/>
          <w:rFonts w:ascii="Times New Roman" w:hAnsi="Times New Roman" w:cs="Times New Roman"/>
          <w:sz w:val="24"/>
          <w:szCs w:val="24"/>
        </w:rPr>
        <w:t>зала</w:t>
      </w:r>
      <w:r>
        <w:rPr>
          <w:rFonts w:ascii="Times New Roman" w:hAnsi="Times New Roman" w:cs="Times New Roman"/>
          <w:sz w:val="24"/>
          <w:szCs w:val="24"/>
        </w:rPr>
        <w:t xml:space="preserve"> </w:t>
      </w:r>
      <w:r>
        <w:rPr>
          <w:rStyle w:val="w"/>
          <w:rFonts w:ascii="Times New Roman" w:hAnsi="Times New Roman" w:cs="Times New Roman"/>
          <w:sz w:val="24"/>
          <w:szCs w:val="24"/>
        </w:rPr>
        <w:t>и</w:t>
      </w:r>
      <w:r>
        <w:rPr>
          <w:rFonts w:ascii="Times New Roman" w:hAnsi="Times New Roman" w:cs="Times New Roman"/>
          <w:sz w:val="24"/>
          <w:szCs w:val="24"/>
        </w:rPr>
        <w:t xml:space="preserve"> </w:t>
      </w:r>
      <w:r>
        <w:rPr>
          <w:rStyle w:val="w"/>
          <w:rFonts w:ascii="Times New Roman" w:hAnsi="Times New Roman" w:cs="Times New Roman"/>
          <w:sz w:val="24"/>
          <w:szCs w:val="24"/>
        </w:rPr>
        <w:t>помещений</w:t>
      </w:r>
      <w:r>
        <w:rPr>
          <w:rFonts w:ascii="Times New Roman" w:hAnsi="Times New Roman" w:cs="Times New Roman"/>
          <w:sz w:val="24"/>
          <w:szCs w:val="24"/>
        </w:rPr>
        <w:t xml:space="preserve"> </w:t>
      </w:r>
      <w:r>
        <w:rPr>
          <w:rStyle w:val="w"/>
          <w:rFonts w:ascii="Times New Roman" w:hAnsi="Times New Roman" w:cs="Times New Roman"/>
          <w:sz w:val="24"/>
          <w:szCs w:val="24"/>
        </w:rPr>
        <w:t>для</w:t>
      </w:r>
      <w:r>
        <w:rPr>
          <w:rFonts w:ascii="Times New Roman" w:hAnsi="Times New Roman" w:cs="Times New Roman"/>
          <w:sz w:val="24"/>
          <w:szCs w:val="24"/>
        </w:rPr>
        <w:t xml:space="preserve"> </w:t>
      </w:r>
      <w:r>
        <w:rPr>
          <w:rStyle w:val="w"/>
          <w:rFonts w:ascii="Times New Roman" w:hAnsi="Times New Roman" w:cs="Times New Roman"/>
          <w:sz w:val="24"/>
          <w:szCs w:val="24"/>
        </w:rPr>
        <w:t>хранения</w:t>
      </w:r>
      <w:r>
        <w:rPr>
          <w:rFonts w:ascii="Times New Roman" w:hAnsi="Times New Roman" w:cs="Times New Roman"/>
          <w:sz w:val="24"/>
          <w:szCs w:val="24"/>
        </w:rPr>
        <w:t xml:space="preserve"> </w:t>
      </w:r>
      <w:r>
        <w:rPr>
          <w:rStyle w:val="w"/>
          <w:rFonts w:ascii="Times New Roman" w:hAnsi="Times New Roman" w:cs="Times New Roman"/>
          <w:sz w:val="24"/>
          <w:szCs w:val="24"/>
        </w:rPr>
        <w:t>товаров</w:t>
      </w:r>
      <w:r>
        <w:rPr>
          <w:rFonts w:ascii="Times New Roman" w:hAnsi="Times New Roman" w:cs="Times New Roman"/>
          <w:sz w:val="24"/>
          <w:szCs w:val="24"/>
        </w:rPr>
        <w:t xml:space="preserve">, </w:t>
      </w:r>
      <w:r>
        <w:rPr>
          <w:rStyle w:val="w"/>
          <w:rFonts w:ascii="Times New Roman" w:hAnsi="Times New Roman" w:cs="Times New Roman"/>
          <w:sz w:val="24"/>
          <w:szCs w:val="24"/>
        </w:rPr>
        <w:t>представляющий</w:t>
      </w:r>
      <w:r>
        <w:rPr>
          <w:rFonts w:ascii="Times New Roman" w:hAnsi="Times New Roman" w:cs="Times New Roman"/>
          <w:sz w:val="24"/>
          <w:szCs w:val="24"/>
        </w:rPr>
        <w:t xml:space="preserve"> </w:t>
      </w:r>
      <w:r>
        <w:rPr>
          <w:rStyle w:val="w"/>
          <w:rFonts w:ascii="Times New Roman" w:hAnsi="Times New Roman" w:cs="Times New Roman"/>
          <w:sz w:val="24"/>
          <w:szCs w:val="24"/>
        </w:rPr>
        <w:t>собой</w:t>
      </w:r>
      <w:r>
        <w:rPr>
          <w:rFonts w:ascii="Times New Roman" w:hAnsi="Times New Roman" w:cs="Times New Roman"/>
          <w:sz w:val="24"/>
          <w:szCs w:val="24"/>
        </w:rPr>
        <w:t xml:space="preserve"> </w:t>
      </w:r>
      <w:r>
        <w:rPr>
          <w:rStyle w:val="w"/>
          <w:rFonts w:ascii="Times New Roman" w:hAnsi="Times New Roman" w:cs="Times New Roman"/>
          <w:sz w:val="24"/>
          <w:szCs w:val="24"/>
        </w:rPr>
        <w:t>легко</w:t>
      </w:r>
      <w:r>
        <w:rPr>
          <w:rFonts w:ascii="Times New Roman" w:hAnsi="Times New Roman" w:cs="Times New Roman"/>
          <w:sz w:val="24"/>
          <w:szCs w:val="24"/>
        </w:rPr>
        <w:t xml:space="preserve"> </w:t>
      </w:r>
      <w:r>
        <w:rPr>
          <w:rStyle w:val="w"/>
          <w:rFonts w:ascii="Times New Roman" w:hAnsi="Times New Roman" w:cs="Times New Roman"/>
          <w:sz w:val="24"/>
          <w:szCs w:val="24"/>
        </w:rPr>
        <w:t>возводимую</w:t>
      </w:r>
      <w:r>
        <w:rPr>
          <w:rFonts w:ascii="Times New Roman" w:hAnsi="Times New Roman" w:cs="Times New Roman"/>
          <w:sz w:val="24"/>
          <w:szCs w:val="24"/>
        </w:rPr>
        <w:t xml:space="preserve"> </w:t>
      </w:r>
      <w:r>
        <w:rPr>
          <w:rStyle w:val="w"/>
          <w:rFonts w:ascii="Times New Roman" w:hAnsi="Times New Roman" w:cs="Times New Roman"/>
          <w:sz w:val="24"/>
          <w:szCs w:val="24"/>
        </w:rPr>
        <w:t>сборно</w:t>
      </w:r>
      <w:r>
        <w:rPr>
          <w:rFonts w:ascii="Times New Roman" w:hAnsi="Times New Roman" w:cs="Times New Roman"/>
          <w:sz w:val="24"/>
          <w:szCs w:val="24"/>
        </w:rPr>
        <w:t>-</w:t>
      </w:r>
      <w:r>
        <w:rPr>
          <w:rStyle w:val="w"/>
          <w:rFonts w:ascii="Times New Roman" w:hAnsi="Times New Roman" w:cs="Times New Roman"/>
          <w:sz w:val="24"/>
          <w:szCs w:val="24"/>
        </w:rPr>
        <w:t>разборную</w:t>
      </w:r>
      <w:r>
        <w:rPr>
          <w:rFonts w:ascii="Times New Roman" w:hAnsi="Times New Roman" w:cs="Times New Roman"/>
          <w:sz w:val="24"/>
          <w:szCs w:val="24"/>
        </w:rPr>
        <w:t xml:space="preserve"> </w:t>
      </w:r>
      <w:r>
        <w:rPr>
          <w:rStyle w:val="w"/>
          <w:rFonts w:ascii="Times New Roman" w:hAnsi="Times New Roman" w:cs="Times New Roman"/>
          <w:sz w:val="24"/>
          <w:szCs w:val="24"/>
        </w:rPr>
        <w:t>конструкцию</w:t>
      </w:r>
      <w:r>
        <w:rPr>
          <w:rFonts w:ascii="Times New Roman" w:hAnsi="Times New Roman" w:cs="Times New Roman"/>
          <w:sz w:val="24"/>
          <w:szCs w:val="24"/>
        </w:rPr>
        <w:t xml:space="preserve">, </w:t>
      </w:r>
      <w:r>
        <w:rPr>
          <w:rStyle w:val="w"/>
          <w:rFonts w:ascii="Times New Roman" w:hAnsi="Times New Roman" w:cs="Times New Roman"/>
          <w:sz w:val="24"/>
          <w:szCs w:val="24"/>
        </w:rPr>
        <w:t>оснащенную</w:t>
      </w:r>
      <w:r>
        <w:rPr>
          <w:rFonts w:ascii="Times New Roman" w:hAnsi="Times New Roman" w:cs="Times New Roman"/>
          <w:sz w:val="24"/>
          <w:szCs w:val="24"/>
        </w:rPr>
        <w:t xml:space="preserve"> </w:t>
      </w:r>
      <w:r>
        <w:rPr>
          <w:rStyle w:val="w"/>
          <w:rFonts w:ascii="Times New Roman" w:hAnsi="Times New Roman" w:cs="Times New Roman"/>
          <w:sz w:val="24"/>
          <w:szCs w:val="24"/>
        </w:rPr>
        <w:t>прилавком</w:t>
      </w:r>
      <w:r>
        <w:rPr>
          <w:rFonts w:ascii="Times New Roman" w:hAnsi="Times New Roman" w:cs="Times New Roman"/>
          <w:sz w:val="24"/>
          <w:szCs w:val="24"/>
        </w:rPr>
        <w:t xml:space="preserve">, </w:t>
      </w:r>
      <w:r>
        <w:rPr>
          <w:rStyle w:val="w"/>
          <w:rFonts w:ascii="Times New Roman" w:hAnsi="Times New Roman" w:cs="Times New Roman"/>
          <w:sz w:val="24"/>
          <w:szCs w:val="24"/>
        </w:rPr>
        <w:t>рассчитанную</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одно</w:t>
      </w:r>
      <w:r>
        <w:rPr>
          <w:rFonts w:ascii="Times New Roman" w:hAnsi="Times New Roman" w:cs="Times New Roman"/>
          <w:sz w:val="24"/>
          <w:szCs w:val="24"/>
        </w:rPr>
        <w:t xml:space="preserve"> </w:t>
      </w:r>
      <w:r>
        <w:rPr>
          <w:rStyle w:val="w"/>
          <w:rFonts w:ascii="Times New Roman" w:hAnsi="Times New Roman" w:cs="Times New Roman"/>
          <w:sz w:val="24"/>
          <w:szCs w:val="24"/>
        </w:rPr>
        <w:t>рабочее</w:t>
      </w:r>
      <w:r>
        <w:rPr>
          <w:rFonts w:ascii="Times New Roman" w:hAnsi="Times New Roman" w:cs="Times New Roman"/>
          <w:sz w:val="24"/>
          <w:szCs w:val="24"/>
        </w:rPr>
        <w:t xml:space="preserve"> </w:t>
      </w:r>
      <w:r>
        <w:rPr>
          <w:rStyle w:val="w"/>
          <w:rFonts w:ascii="Times New Roman" w:hAnsi="Times New Roman" w:cs="Times New Roman"/>
          <w:sz w:val="24"/>
          <w:szCs w:val="24"/>
        </w:rPr>
        <w:t>место</w:t>
      </w:r>
      <w:r>
        <w:rPr>
          <w:rFonts w:ascii="Times New Roman" w:hAnsi="Times New Roman" w:cs="Times New Roman"/>
          <w:sz w:val="24"/>
          <w:szCs w:val="24"/>
        </w:rPr>
        <w:t xml:space="preserve"> </w:t>
      </w:r>
      <w:r>
        <w:rPr>
          <w:rStyle w:val="w"/>
          <w:rFonts w:ascii="Times New Roman" w:hAnsi="Times New Roman" w:cs="Times New Roman"/>
          <w:sz w:val="24"/>
          <w:szCs w:val="24"/>
        </w:rPr>
        <w:t>продавца</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площади,</w:t>
      </w:r>
      <w:r>
        <w:rPr>
          <w:rFonts w:ascii="Times New Roman" w:hAnsi="Times New Roman" w:cs="Times New Roman"/>
          <w:sz w:val="24"/>
          <w:szCs w:val="24"/>
        </w:rPr>
        <w:t xml:space="preserve"> </w:t>
      </w:r>
      <w:r>
        <w:rPr>
          <w:rStyle w:val="w"/>
          <w:rFonts w:ascii="Times New Roman" w:hAnsi="Times New Roman" w:cs="Times New Roman"/>
          <w:sz w:val="24"/>
          <w:szCs w:val="24"/>
        </w:rPr>
        <w:t>которой</w:t>
      </w:r>
      <w:r>
        <w:rPr>
          <w:rFonts w:ascii="Times New Roman" w:hAnsi="Times New Roman" w:cs="Times New Roman"/>
          <w:sz w:val="24"/>
          <w:szCs w:val="24"/>
        </w:rPr>
        <w:t xml:space="preserve"> </w:t>
      </w:r>
      <w:r>
        <w:rPr>
          <w:rStyle w:val="w"/>
          <w:rFonts w:ascii="Times New Roman" w:hAnsi="Times New Roman" w:cs="Times New Roman"/>
          <w:sz w:val="24"/>
          <w:szCs w:val="24"/>
        </w:rPr>
        <w:t>размещен</w:t>
      </w:r>
      <w:r>
        <w:rPr>
          <w:rFonts w:ascii="Times New Roman" w:hAnsi="Times New Roman" w:cs="Times New Roman"/>
          <w:sz w:val="24"/>
          <w:szCs w:val="24"/>
        </w:rPr>
        <w:t xml:space="preserve"> </w:t>
      </w:r>
      <w:r>
        <w:rPr>
          <w:rStyle w:val="w"/>
          <w:rFonts w:ascii="Times New Roman" w:hAnsi="Times New Roman" w:cs="Times New Roman"/>
          <w:sz w:val="24"/>
          <w:szCs w:val="24"/>
        </w:rPr>
        <w:t>товарный</w:t>
      </w:r>
      <w:r>
        <w:rPr>
          <w:rFonts w:ascii="Times New Roman" w:hAnsi="Times New Roman" w:cs="Times New Roman"/>
          <w:sz w:val="24"/>
          <w:szCs w:val="24"/>
        </w:rPr>
        <w:t xml:space="preserve"> </w:t>
      </w:r>
      <w:r>
        <w:rPr>
          <w:rStyle w:val="w"/>
          <w:rFonts w:ascii="Times New Roman" w:hAnsi="Times New Roman" w:cs="Times New Roman"/>
          <w:sz w:val="24"/>
          <w:szCs w:val="24"/>
        </w:rPr>
        <w:t>запас</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один</w:t>
      </w:r>
      <w:r>
        <w:rPr>
          <w:rFonts w:ascii="Times New Roman" w:hAnsi="Times New Roman" w:cs="Times New Roman"/>
          <w:sz w:val="24"/>
          <w:szCs w:val="24"/>
        </w:rPr>
        <w:t xml:space="preserve"> </w:t>
      </w:r>
      <w:r>
        <w:rPr>
          <w:rStyle w:val="w"/>
          <w:rFonts w:ascii="Times New Roman" w:hAnsi="Times New Roman" w:cs="Times New Roman"/>
          <w:sz w:val="24"/>
          <w:szCs w:val="24"/>
        </w:rPr>
        <w:t>день торговли;</w:t>
      </w:r>
    </w:p>
    <w:p w:rsidR="00623224" w:rsidRDefault="00623224" w:rsidP="00623224">
      <w:pPr>
        <w:widowControl w:val="0"/>
        <w:tabs>
          <w:tab w:val="left" w:pos="142"/>
        </w:tabs>
        <w:autoSpaceDE w:val="0"/>
        <w:autoSpaceDN w:val="0"/>
        <w:adjustRightInd w:val="0"/>
        <w:spacing w:after="0" w:line="240" w:lineRule="auto"/>
        <w:ind w:right="-426" w:firstLine="426"/>
        <w:jc w:val="both"/>
      </w:pPr>
      <w:r>
        <w:rPr>
          <w:rStyle w:val="w"/>
          <w:rFonts w:ascii="Times New Roman" w:hAnsi="Times New Roman" w:cs="Times New Roman"/>
          <w:sz w:val="24"/>
          <w:szCs w:val="24"/>
        </w:rPr>
        <w:t>5)</w:t>
      </w:r>
      <w:r>
        <w:rPr>
          <w:rFonts w:ascii="Times New Roman" w:hAnsi="Times New Roman" w:cs="Times New Roman"/>
          <w:sz w:val="24"/>
          <w:szCs w:val="24"/>
        </w:rPr>
        <w:t> иные нестационарные торговые объекты.</w:t>
      </w:r>
    </w:p>
    <w:p w:rsidR="00623224" w:rsidRDefault="00623224" w:rsidP="00623224">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w:t>
      </w:r>
      <w:r>
        <w:rPr>
          <w:rFonts w:ascii="Times New Roman" w:hAnsi="Times New Roman" w:cs="Times New Roman"/>
          <w:sz w:val="24"/>
          <w:szCs w:val="24"/>
        </w:rPr>
        <w:lastRenderedPageBreak/>
        <w:t xml:space="preserve">открытым по составу участников и по форме подачи заявок. </w:t>
      </w:r>
      <w:proofErr w:type="gramStart"/>
      <w:r>
        <w:rPr>
          <w:rFonts w:ascii="Times New Roman" w:hAnsi="Times New Roman" w:cs="Times New Roman"/>
          <w:sz w:val="24"/>
          <w:szCs w:val="24"/>
        </w:rPr>
        <w:t>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размещении</w:t>
      </w:r>
      <w:proofErr w:type="gramEnd"/>
      <w:r>
        <w:rPr>
          <w:rFonts w:ascii="Times New Roman" w:hAnsi="Times New Roman" w:cs="Times New Roman"/>
          <w:sz w:val="24"/>
          <w:szCs w:val="24"/>
        </w:rPr>
        <w:t xml:space="preserve"> нестационарных торговых объектов на территории муниципального образования «Вельское».</w:t>
      </w:r>
    </w:p>
    <w:p w:rsidR="00623224" w:rsidRDefault="00623224" w:rsidP="00623224">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Организатор аукциона – администрация муниципального образования «Вельское»</w:t>
      </w:r>
    </w:p>
    <w:p w:rsidR="00623224" w:rsidRDefault="00623224" w:rsidP="00623224">
      <w:pPr>
        <w:widowControl w:val="0"/>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623224" w:rsidTr="00623224">
        <w:trPr>
          <w:trHeight w:val="562"/>
        </w:trPr>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Автолавка</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город Вельск, Дзержинского ул., между д.82 (школа №4) и 86 б</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8 кв</w:t>
            </w:r>
            <w:proofErr w:type="gramStart"/>
            <w:r>
              <w:rPr>
                <w:rFonts w:ascii="Times New Roman" w:hAnsi="Times New Roman" w:cs="Times New Roman"/>
                <w:sz w:val="24"/>
                <w:szCs w:val="24"/>
              </w:rPr>
              <w:t>.м</w:t>
            </w:r>
            <w:proofErr w:type="gramEnd"/>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Продукция общественного питания</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Круглогодично</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46 129,39</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Вельск, ул. Советская, д.33, каб.10, 12 июля 2018г в 11.00</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9 225,88</w:t>
            </w:r>
            <w:r>
              <w:rPr>
                <w:rFonts w:ascii="Times New Roman" w:hAnsi="Times New Roman" w:cs="Times New Roman"/>
                <w:bCs/>
                <w:color w:val="000000"/>
                <w:sz w:val="24"/>
                <w:szCs w:val="24"/>
              </w:rPr>
              <w:t xml:space="preserve"> руб. Для участия в аукционе претендент вносит задаток не позднее </w:t>
            </w:r>
            <w:r>
              <w:rPr>
                <w:rFonts w:ascii="Times New Roman" w:hAnsi="Times New Roman" w:cs="Times New Roman"/>
                <w:bCs/>
                <w:sz w:val="24"/>
                <w:szCs w:val="24"/>
              </w:rPr>
              <w:t>09.07.2018года</w:t>
            </w:r>
            <w:r>
              <w:rPr>
                <w:rFonts w:ascii="Times New Roman" w:hAnsi="Times New Roman" w:cs="Times New Roman"/>
                <w:bCs/>
                <w:color w:val="000000"/>
                <w:sz w:val="24"/>
                <w:szCs w:val="24"/>
              </w:rPr>
              <w:t xml:space="preserve"> РЕКВИЗИТЫ:</w:t>
            </w:r>
            <w:r>
              <w:rPr>
                <w:rFonts w:ascii="Times New Roman" w:hAnsi="Times New Roman" w:cs="Times New Roman"/>
                <w:bCs/>
                <w:color w:val="000000"/>
                <w:sz w:val="24"/>
                <w:szCs w:val="24"/>
              </w:rPr>
              <w:tab/>
            </w:r>
          </w:p>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2 306,47</w:t>
            </w:r>
            <w:r>
              <w:rPr>
                <w:rFonts w:ascii="Times New Roman" w:hAnsi="Times New Roman" w:cs="Times New Roman"/>
                <w:bCs/>
                <w:color w:val="000000"/>
                <w:sz w:val="24"/>
                <w:szCs w:val="24"/>
              </w:rPr>
              <w:t>руб.</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623224" w:rsidTr="00623224">
        <w:tc>
          <w:tcPr>
            <w:tcW w:w="4188"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224" w:rsidRDefault="00623224">
            <w:pPr>
              <w:spacing w:after="0" w:line="240" w:lineRule="auto"/>
              <w:rPr>
                <w:rFonts w:ascii="Times New Roman" w:hAnsi="Times New Roman" w:cs="Times New Roman"/>
                <w:bCs/>
                <w:color w:val="000000"/>
                <w:sz w:val="24"/>
                <w:szCs w:val="24"/>
              </w:rPr>
            </w:pPr>
          </w:p>
        </w:tc>
      </w:tr>
      <w:tr w:rsidR="00623224" w:rsidTr="00623224">
        <w:trPr>
          <w:trHeight w:val="1567"/>
        </w:trPr>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623224" w:rsidTr="00623224">
        <w:trPr>
          <w:trHeight w:val="70"/>
        </w:trPr>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623224" w:rsidRDefault="00623224">
            <w:pPr>
              <w:spacing w:after="0" w:line="240" w:lineRule="auto"/>
            </w:pPr>
          </w:p>
        </w:tc>
      </w:tr>
      <w:tr w:rsidR="00623224" w:rsidTr="00623224">
        <w:tc>
          <w:tcPr>
            <w:tcW w:w="4188"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 Требования к содержанию, форме, оформлению и составу заявки</w:t>
      </w:r>
    </w:p>
    <w:p w:rsidR="00623224" w:rsidRDefault="00623224" w:rsidP="00623224">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623224" w:rsidRDefault="00623224" w:rsidP="00623224">
      <w:pPr>
        <w:tabs>
          <w:tab w:val="left" w:pos="142"/>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bCs/>
          <w:color w:val="000000"/>
          <w:sz w:val="24"/>
          <w:szCs w:val="24"/>
        </w:rPr>
        <w:t>Заявка на участие в аукционе должна содержать следующие сведения о претенденте: фирменное наименование</w:t>
      </w:r>
      <w:r>
        <w:rPr>
          <w:rFonts w:ascii="Times New Roman" w:hAnsi="Times New Roman" w:cs="Times New Roman"/>
          <w:sz w:val="24"/>
          <w:szCs w:val="24"/>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 Заявка должна быть подписана претендентом либо его представителем, уполномоченным действовать от имени претендента.</w:t>
      </w:r>
    </w:p>
    <w:p w:rsidR="00623224" w:rsidRDefault="00623224" w:rsidP="00623224">
      <w:pPr>
        <w:tabs>
          <w:tab w:val="left" w:pos="142"/>
        </w:tabs>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К заявке прилагаются следующие документы:</w:t>
      </w:r>
    </w:p>
    <w:p w:rsidR="00623224" w:rsidRDefault="00623224" w:rsidP="00623224">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для юридических лиц: полученная, не ранее чем за шесть месяцев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для индивидуальных предпринимателей: полученная, не ранее чем за шесть месяцев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623224" w:rsidRDefault="00623224" w:rsidP="00623224">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623224" w:rsidRDefault="00623224" w:rsidP="00623224">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Поступившие заявки регистрируются организатором аукциона в порядке поступления с указанием номера, времени и даты регистрации.</w:t>
      </w:r>
    </w:p>
    <w:p w:rsidR="00623224" w:rsidRDefault="00623224" w:rsidP="00623224">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Требования к оформлению описи представляемых документов:</w:t>
      </w:r>
    </w:p>
    <w:p w:rsidR="00623224" w:rsidRDefault="00623224" w:rsidP="00623224">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должна включить опись входящих в нее документов по следующей форме:</w:t>
      </w:r>
    </w:p>
    <w:p w:rsidR="00623224" w:rsidRDefault="00623224" w:rsidP="00623224">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623224" w:rsidTr="00623224">
        <w:trPr>
          <w:jc w:val="center"/>
        </w:trPr>
        <w:tc>
          <w:tcPr>
            <w:tcW w:w="335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623224" w:rsidRDefault="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Количество страниц</w:t>
            </w:r>
          </w:p>
        </w:tc>
      </w:tr>
      <w:tr w:rsidR="00623224" w:rsidTr="00623224">
        <w:trPr>
          <w:jc w:val="center"/>
        </w:trPr>
        <w:tc>
          <w:tcPr>
            <w:tcW w:w="3353"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623224" w:rsidTr="00623224">
        <w:trPr>
          <w:jc w:val="center"/>
        </w:trPr>
        <w:tc>
          <w:tcPr>
            <w:tcW w:w="3353"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Borders>
              <w:top w:val="single" w:sz="4" w:space="0" w:color="auto"/>
              <w:left w:val="single" w:sz="4" w:space="0" w:color="auto"/>
              <w:bottom w:val="single" w:sz="4" w:space="0" w:color="auto"/>
              <w:right w:val="single" w:sz="4" w:space="0" w:color="auto"/>
            </w:tcBorders>
          </w:tcPr>
          <w:p w:rsidR="00623224" w:rsidRDefault="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Опись должна быть подписана лицом, подающим заявку на участие в аукционе, или его уполномоченным представителем.</w:t>
      </w: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Форма запроса о разъяснении документации приведена в приложение №4к настоящей документации.</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Срок и порядок внесения платы за право на заключение договора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5 (пяти) банковских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Реквизиты для внесения платы за право на заключение договора:</w:t>
      </w:r>
    </w:p>
    <w:p w:rsidR="00623224" w:rsidRDefault="00623224" w:rsidP="00623224">
      <w:pPr>
        <w:pStyle w:val="af4"/>
        <w:ind w:firstLine="720"/>
        <w:rPr>
          <w:sz w:val="26"/>
          <w:szCs w:val="26"/>
        </w:rPr>
      </w:pPr>
      <w:r>
        <w:rPr>
          <w:sz w:val="26"/>
          <w:szCs w:val="26"/>
        </w:rPr>
        <w:t xml:space="preserve">УФК по Архангельской области и Ненецкому автономному округу (Администрация МО «Вельское») на </w:t>
      </w:r>
      <w:proofErr w:type="spellStart"/>
      <w:proofErr w:type="gramStart"/>
      <w:r>
        <w:rPr>
          <w:sz w:val="26"/>
          <w:szCs w:val="26"/>
        </w:rPr>
        <w:t>р</w:t>
      </w:r>
      <w:proofErr w:type="spellEnd"/>
      <w:proofErr w:type="gramEnd"/>
      <w:r>
        <w:rPr>
          <w:sz w:val="26"/>
          <w:szCs w:val="26"/>
        </w:rPr>
        <w:t xml:space="preserve">/счёт 40101810500000010003 в Отделение Архангельск г. Архангельск,  ИНН 2907010999, БИК 041117001, КПП 290701001, ОКТМО 11605101, ОГРН 1052907034762,  </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КБК - 78611302995130000130</w:t>
      </w:r>
    </w:p>
    <w:p w:rsidR="00623224" w:rsidRDefault="00623224" w:rsidP="00623224">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Назначение платежа: «Плата за право заключения договора на размещение</w:t>
      </w:r>
    </w:p>
    <w:p w:rsidR="00623224" w:rsidRDefault="00623224" w:rsidP="00623224">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нестационарного объекта по лоту №___ (ФИО ____________)».</w:t>
      </w: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Порядок, место, дата, время начала и окончания приема заявок, инструкция по заполнению</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4.1. </w:t>
      </w:r>
      <w:proofErr w:type="gramStart"/>
      <w:r>
        <w:rPr>
          <w:rFonts w:ascii="Times New Roman" w:hAnsi="Times New Roman" w:cs="Times New Roman"/>
          <w:b/>
          <w:bCs/>
          <w:color w:val="000000"/>
          <w:sz w:val="24"/>
          <w:szCs w:val="24"/>
        </w:rPr>
        <w:t xml:space="preserve">Прием заявок для участия в аукционе будет осуществляться с «18» июня 2018 года по «09» июля 2018 года включительно ежедневно, по рабочим дням, с 08:00 ч. до 17:00 перерыв с 13:00 ч. до 14:00 ч., кроме субботы и воскресенья по адресу: 165150, Архангельская обл., г.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6.</w:t>
      </w:r>
      <w:proofErr w:type="gramEnd"/>
      <w:r>
        <w:rPr>
          <w:rFonts w:ascii="Times New Roman" w:hAnsi="Times New Roman" w:cs="Times New Roman"/>
          <w:b/>
          <w:bCs/>
          <w:color w:val="000000"/>
          <w:sz w:val="24"/>
          <w:szCs w:val="24"/>
        </w:rPr>
        <w:t xml:space="preserve"> В это же время и по указанному адресу претенденты могут ознакомиться с дополнительной информацией и аукционной документацией.</w:t>
      </w:r>
    </w:p>
    <w:p w:rsidR="00623224" w:rsidRDefault="00623224" w:rsidP="00623224">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 Порядок и срок отзыва заявок</w:t>
      </w:r>
    </w:p>
    <w:p w:rsidR="00623224" w:rsidRDefault="00623224" w:rsidP="00623224">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 Место, дата, время и порядок проведения аукциона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6.1. </w:t>
      </w:r>
      <w:r>
        <w:rPr>
          <w:rFonts w:ascii="Times New Roman" w:hAnsi="Times New Roman" w:cs="Times New Roman"/>
          <w:b/>
          <w:bCs/>
          <w:color w:val="000000"/>
          <w:sz w:val="24"/>
          <w:szCs w:val="24"/>
        </w:rPr>
        <w:t xml:space="preserve">Аукцион состоится «12» июля 2018 года в 11 ч. 00 мин. по местному времени по адресу: Архангельская область, </w:t>
      </w:r>
      <w:proofErr w:type="gramStart"/>
      <w:r>
        <w:rPr>
          <w:rFonts w:ascii="Times New Roman" w:hAnsi="Times New Roman" w:cs="Times New Roman"/>
          <w:b/>
          <w:bCs/>
          <w:color w:val="000000"/>
          <w:sz w:val="24"/>
          <w:szCs w:val="24"/>
        </w:rPr>
        <w:t>г</w:t>
      </w:r>
      <w:proofErr w:type="gramEnd"/>
      <w:r>
        <w:rPr>
          <w:rFonts w:ascii="Times New Roman" w:hAnsi="Times New Roman" w:cs="Times New Roman"/>
          <w:b/>
          <w:bCs/>
          <w:color w:val="000000"/>
          <w:sz w:val="24"/>
          <w:szCs w:val="24"/>
        </w:rPr>
        <w:t xml:space="preserve">.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10.</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623224" w:rsidRDefault="00623224" w:rsidP="00623224">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6.4. Участникам выдаются пронумерованные карточки участника аукциона.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Аукцион проводится последовательно и отдельно по каждому лоту.</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6.6. «Шаг аукциона» указывается в извещении.</w:t>
      </w:r>
    </w:p>
    <w:p w:rsidR="00623224" w:rsidRDefault="00623224" w:rsidP="00623224">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6.7. Аукционист выбирается из числа членов комиссии путем открытого голосования членов комиссии большинством голосов.</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6.8. Аукцион проводится в следующем порядке:</w:t>
      </w:r>
    </w:p>
    <w:p w:rsidR="00623224" w:rsidRDefault="00623224" w:rsidP="00623224">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6.8.1. Аукцион ведет аукционист.</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6.8.2.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участниками аукциона путем поднятия карточек. В случае заявления цены, кратной «шагу аукциона», эта цена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участниками аукциона путем поднятия карточек и ее оглашения; </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6.8.5. Предложения на повышение цены могут вноситься участниками в произвольном порядке или по очереди;</w:t>
      </w:r>
    </w:p>
    <w:p w:rsidR="00623224" w:rsidRDefault="00623224" w:rsidP="00623224">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6.9. Победителем аукциона признается участник, предложивший самую высокую цену лота, на которой завершился аукцион.</w:t>
      </w:r>
    </w:p>
    <w:p w:rsidR="00623224" w:rsidRDefault="00623224" w:rsidP="00623224">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6.10.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6.11. </w:t>
      </w:r>
      <w:proofErr w:type="gramStart"/>
      <w:r>
        <w:rPr>
          <w:rFonts w:ascii="Times New Roman" w:hAnsi="Times New Roman" w:cs="Times New Roman"/>
          <w:sz w:val="24"/>
          <w:szCs w:val="24"/>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перечень претендентов, признанных участниками аукциона и получивших допуск к участию в аукционе;</w:t>
      </w:r>
    </w:p>
    <w:p w:rsidR="00623224" w:rsidRDefault="00623224" w:rsidP="00623224">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победитель аукциона;</w:t>
      </w:r>
    </w:p>
    <w:p w:rsidR="00623224" w:rsidRDefault="00623224" w:rsidP="00623224">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цена аукциона, предложенная победителем;</w:t>
      </w:r>
    </w:p>
    <w:p w:rsidR="00623224" w:rsidRDefault="00623224" w:rsidP="00623224">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участник аукциона, сделавший предпоследнее предложение о цене аукциона.</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6.12. Победитель аукциона и участник аукциона, сделавший предпоследнее предложение по цене аукциона, обязаны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лоту подписать протокол в день проведения аукциона.</w:t>
      </w:r>
    </w:p>
    <w:p w:rsidR="00623224" w:rsidRDefault="00623224" w:rsidP="00623224">
      <w:pPr>
        <w:widowControl w:val="0"/>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623224" w:rsidRDefault="00623224" w:rsidP="00623224">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6.15. Протокол об итогах аукциона направляется победителю аукциона одновременно с уведомлением о признании его победителем.</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6.16. Протокол об итогах аукциона хранится у организатора аукциона не менее 5 лет.</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Величина повышения начальной цены предмета аукциона («шаг аукциона»)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7.1. </w:t>
      </w:r>
      <w:proofErr w:type="gramStart"/>
      <w:r>
        <w:rPr>
          <w:rFonts w:ascii="Times New Roman" w:hAnsi="Times New Roman" w:cs="Times New Roman"/>
          <w:bCs/>
          <w:color w:val="000000"/>
          <w:sz w:val="24"/>
          <w:szCs w:val="24"/>
        </w:rPr>
        <w:t>«Шаг аукциона», а именно минимальный коэффициент повышения начальной (минимальной) цены аукциона (лота), предлагаемый участником аукциона, составляет 5% (пять процентов) от начальной (минимальной) цены аукциона (лота).</w:t>
      </w:r>
      <w:proofErr w:type="gramEnd"/>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8. Место, дата и время начала рассмотрения заявок на участие в аукционе</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8.1. Дата, время и место рассмотрения заявок – «10» июля 2018 года в 11 час. 00 мин. по адресу: Архангельская обл., г.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10.</w:t>
      </w:r>
    </w:p>
    <w:p w:rsidR="00623224" w:rsidRDefault="00623224" w:rsidP="00623224">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9.1. Обеспечение заявок на участие в аукционе представляется в виде задатка (пункт 4 статьи 448 Гражданского кодекса Российской Федерации).</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Задаток вносится по следующим реквизитам:</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Назначение платежа – задаток для участия в аукционе на право размещения НТО по лоту №___</w:t>
      </w: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9.2. Внесение задатка подтверждается платежным документом, копия или оригинал которого прикладываются к заявке на участие в аукционе.</w:t>
      </w: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623224" w:rsidRDefault="00623224" w:rsidP="00623224">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9.4. Задаток возвращается в следующих случаях:</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участнику, который </w:t>
      </w:r>
      <w:r>
        <w:rPr>
          <w:rFonts w:ascii="Times New Roman" w:hAnsi="Times New Roman" w:cs="Times New Roman"/>
          <w:bCs/>
          <w:color w:val="000000"/>
          <w:sz w:val="24"/>
          <w:szCs w:val="24"/>
        </w:rPr>
        <w:t xml:space="preserve">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доты</w:t>
      </w:r>
      <w:proofErr w:type="gramEnd"/>
      <w:r>
        <w:rPr>
          <w:rFonts w:ascii="Times New Roman" w:hAnsi="Times New Roman" w:cs="Times New Roman"/>
          <w:bCs/>
          <w:color w:val="000000"/>
          <w:sz w:val="24"/>
          <w:szCs w:val="24"/>
        </w:rPr>
        <w:t xml:space="preserve"> проведения аукциона;</w:t>
      </w:r>
    </w:p>
    <w:p w:rsidR="00623224" w:rsidRDefault="00623224" w:rsidP="00623224">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623224" w:rsidRDefault="00623224" w:rsidP="00623224">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9.5. Задаток не возвращается:</w:t>
      </w: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участнику, который внес задаток, но не участвовал в аукционе;</w:t>
      </w:r>
    </w:p>
    <w:p w:rsidR="00623224" w:rsidRDefault="00623224" w:rsidP="00623224">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623224" w:rsidRDefault="00623224" w:rsidP="00623224">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10. Срок, в течение которого победитель аукциона должен подписать договор на право размещения нестационарного торгового объекта</w:t>
      </w:r>
    </w:p>
    <w:p w:rsidR="00623224" w:rsidRDefault="00623224" w:rsidP="00623224">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10.2. </w:t>
      </w:r>
      <w:proofErr w:type="gramStart"/>
      <w:r>
        <w:rPr>
          <w:rFonts w:ascii="Times New Roman" w:hAnsi="Times New Roman" w:cs="Times New Roman"/>
          <w:sz w:val="24"/>
          <w:szCs w:val="24"/>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Pr>
          <w:rFonts w:ascii="Times New Roman" w:hAnsi="Times New Roman" w:cs="Times New Roman"/>
          <w:sz w:val="24"/>
          <w:szCs w:val="24"/>
        </w:rPr>
        <w:t xml:space="preserve"> право на заключение данного договора.</w:t>
      </w:r>
    </w:p>
    <w:p w:rsidR="00623224" w:rsidRDefault="00623224" w:rsidP="00623224">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11. Информации о сроках начала осуществления деятельности</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11.1. Дата начала осуществления деятельности – « » ________ 2018 года.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 Срок действия договора на право размещения нестационарного торгового объекта – 3 года</w:t>
      </w: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623224" w:rsidRDefault="00623224" w:rsidP="0062322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12.1.Срок действия договора на право размещения нестационарного торгового объекта указывается в информации о лоте аукциона.</w:t>
      </w: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224"/>
    <w:rsid w:val="000903ED"/>
    <w:rsid w:val="00415574"/>
    <w:rsid w:val="004D527B"/>
    <w:rsid w:val="00524C78"/>
    <w:rsid w:val="005F6A57"/>
    <w:rsid w:val="00623224"/>
    <w:rsid w:val="007C33B6"/>
    <w:rsid w:val="00AF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24"/>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623224"/>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623224"/>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uiPriority w:val="99"/>
    <w:semiHidden/>
    <w:rsid w:val="00623224"/>
    <w:rPr>
      <w:rFonts w:asciiTheme="minorHAnsi" w:eastAsiaTheme="minorEastAsia" w:hAnsiTheme="minorHAnsi" w:cstheme="minorBidi"/>
      <w:sz w:val="22"/>
      <w:szCs w:val="22"/>
    </w:rPr>
  </w:style>
  <w:style w:type="character" w:customStyle="1" w:styleId="w">
    <w:name w:val="w"/>
    <w:basedOn w:val="a0"/>
    <w:rsid w:val="00623224"/>
  </w:style>
</w:styles>
</file>

<file path=word/webSettings.xml><?xml version="1.0" encoding="utf-8"?>
<w:webSettings xmlns:r="http://schemas.openxmlformats.org/officeDocument/2006/relationships" xmlns:w="http://schemas.openxmlformats.org/wordprocessingml/2006/main">
  <w:divs>
    <w:div w:id="1120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3200</Words>
  <Characters>18241</Characters>
  <Application>Microsoft Office Word</Application>
  <DocSecurity>0</DocSecurity>
  <Lines>152</Lines>
  <Paragraphs>42</Paragraphs>
  <ScaleCrop>false</ScaleCrop>
  <Company>SPecialiST RePack</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2018-06-15T06:07:00Z</dcterms:created>
  <dcterms:modified xsi:type="dcterms:W3CDTF">2018-06-15T06:30:00Z</dcterms:modified>
</cp:coreProperties>
</file>